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DB" w:rsidRDefault="00B317DB" w:rsidP="00B317DB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="TimesNewRoman,Italic" w:hAnsi="TimesNewRoman,Italic" w:cs="B Lotus"/>
          <w:noProof/>
          <w:sz w:val="28"/>
          <w:szCs w:val="28"/>
          <w:rtl/>
        </w:rPr>
        <w:drawing>
          <wp:inline distT="0" distB="0" distL="0" distR="0">
            <wp:extent cx="812519" cy="565790"/>
            <wp:effectExtent l="19050" t="0" r="6631" b="0"/>
            <wp:docPr id="1" name="Picture 1" descr="C:\Users\k.shahraki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shahraki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54" cy="57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5D31"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ارزیابی </w:t>
      </w:r>
      <w:r w:rsidR="00AD5D31"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="00AD5D31"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</w:t>
      </w:r>
      <w:r w:rsidR="00AD5D31">
        <w:rPr>
          <w:rFonts w:ascii="TimesNewRoman,Italic" w:hAnsi="TimesNewRoman,Italic" w:cs="B Lotus" w:hint="cs"/>
          <w:sz w:val="28"/>
          <w:szCs w:val="28"/>
          <w:rtl/>
        </w:rPr>
        <w:t xml:space="preserve"> درون دانشگاهی  دانشگاه </w:t>
      </w:r>
      <w:r>
        <w:rPr>
          <w:rFonts w:ascii="TimesNewRoman,Italic" w:hAnsi="TimesNewRoman,Italic" w:cs="B Lotus"/>
          <w:noProof/>
          <w:sz w:val="28"/>
          <w:szCs w:val="28"/>
          <w:rtl/>
        </w:rPr>
        <w:drawing>
          <wp:inline distT="0" distB="0" distL="0" distR="0">
            <wp:extent cx="543363" cy="468866"/>
            <wp:effectExtent l="19050" t="0" r="9087" b="0"/>
            <wp:docPr id="4" name="Picture 2" descr="C:\Users\k.shahraki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.shahraki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73" cy="469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5D31">
        <w:rPr>
          <w:rFonts w:ascii="TimesNewRoman,Italic" w:hAnsi="TimesNewRoman,Italic" w:cs="B Lotus" w:hint="cs"/>
          <w:sz w:val="28"/>
          <w:szCs w:val="28"/>
          <w:rtl/>
        </w:rPr>
        <w:t>علوم پزشکی زاهدان</w:t>
      </w:r>
      <w:r>
        <w:rPr>
          <w:rFonts w:ascii="TimesNewRoman,Italic" w:hAnsi="TimesNewRoman,Italic" w:cs="B Lotus" w:hint="cs"/>
          <w:sz w:val="28"/>
          <w:szCs w:val="28"/>
          <w:rtl/>
        </w:rPr>
        <w:t xml:space="preserve"> </w:t>
      </w:r>
      <w:r w:rsidR="00AD5D31" w:rsidRPr="00AD5D31">
        <w:rPr>
          <w:rFonts w:ascii="TimesNewRoman,Italic" w:hAnsi="TimesNewRoman,Italic" w:cs="B Lotus" w:hint="cs"/>
          <w:b/>
          <w:bCs/>
          <w:sz w:val="28"/>
          <w:szCs w:val="28"/>
          <w:rtl/>
        </w:rPr>
        <w:t>برای بررسی موارد رد سریع</w:t>
      </w:r>
    </w:p>
    <w:p w:rsidR="00C82637" w:rsidRDefault="00AD5D31" w:rsidP="00C82637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  <w:r>
        <w:rPr>
          <w:rFonts w:ascii="TimesNewRoman,Italic" w:hAnsi="TimesNewRoman,Italic" w:cs="B Lotus" w:hint="cs"/>
          <w:sz w:val="28"/>
          <w:szCs w:val="28"/>
          <w:rtl/>
          <w:lang w:bidi="fa-IR"/>
        </w:rPr>
        <w:t xml:space="preserve"> عنوان طرح:</w:t>
      </w:r>
    </w:p>
    <w:tbl>
      <w:tblPr>
        <w:tblStyle w:val="TableGrid"/>
        <w:bidiVisual/>
        <w:tblW w:w="9988" w:type="dxa"/>
        <w:tblLook w:val="04A0" w:firstRow="1" w:lastRow="0" w:firstColumn="1" w:lastColumn="0" w:noHBand="0" w:noVBand="1"/>
      </w:tblPr>
      <w:tblGrid>
        <w:gridCol w:w="728"/>
        <w:gridCol w:w="504"/>
        <w:gridCol w:w="6866"/>
        <w:gridCol w:w="1890"/>
      </w:tblGrid>
      <w:tr w:rsidR="00AD5D31" w:rsidRPr="009C510C" w:rsidTr="00C82637">
        <w:trPr>
          <w:trHeight w:val="687"/>
        </w:trPr>
        <w:tc>
          <w:tcPr>
            <w:tcW w:w="728" w:type="dxa"/>
            <w:textDirection w:val="btLr"/>
          </w:tcPr>
          <w:p w:rsidR="00AD5D31" w:rsidRPr="009C510C" w:rsidRDefault="00AD5D31" w:rsidP="003642F9">
            <w:pPr>
              <w:bidi/>
              <w:ind w:left="113" w:right="113"/>
              <w:contextualSpacing/>
              <w:jc w:val="center"/>
              <w:rPr>
                <w:rFonts w:eastAsia="MS Mincho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370" w:type="dxa"/>
            <w:gridSpan w:val="2"/>
          </w:tcPr>
          <w:p w:rsidR="00AD5D31" w:rsidRPr="009C510C" w:rsidRDefault="00AD5D31" w:rsidP="003642F9">
            <w:pPr>
              <w:bidi/>
              <w:contextualSpacing/>
              <w:jc w:val="center"/>
              <w:rPr>
                <w:rFonts w:eastAsia="MS Mincho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890" w:type="dxa"/>
          </w:tcPr>
          <w:p w:rsidR="00AD5D31" w:rsidRPr="009C510C" w:rsidRDefault="00AD5D31" w:rsidP="003642F9">
            <w:pPr>
              <w:bidi/>
              <w:contextualSpacing/>
              <w:jc w:val="center"/>
              <w:rPr>
                <w:rFonts w:eastAsia="MS Mincho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D5D31" w:rsidRPr="009C510C" w:rsidTr="00C82637">
        <w:trPr>
          <w:trHeight w:val="261"/>
        </w:trPr>
        <w:tc>
          <w:tcPr>
            <w:tcW w:w="728" w:type="dxa"/>
          </w:tcPr>
          <w:p w:rsidR="00AD5D31" w:rsidRPr="009C510C" w:rsidRDefault="00AD5D31" w:rsidP="003642F9">
            <w:pPr>
              <w:bidi/>
              <w:contextualSpacing/>
              <w:jc w:val="center"/>
              <w:rPr>
                <w:rFonts w:eastAsia="MS Mincho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370" w:type="dxa"/>
            <w:gridSpan w:val="2"/>
          </w:tcPr>
          <w:p w:rsidR="00AD5D31" w:rsidRPr="00AD5D31" w:rsidRDefault="00AD5D31" w:rsidP="003642F9">
            <w:pPr>
              <w:bidi/>
              <w:contextualSpacing/>
              <w:rPr>
                <w:rFonts w:eastAsia="MS Mincho" w:cs="B Lotus"/>
                <w:sz w:val="24"/>
                <w:szCs w:val="24"/>
                <w:rtl/>
                <w:lang w:bidi="fa-IR"/>
              </w:rPr>
            </w:pP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فعالیت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softHyphen/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های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خارج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از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حوزه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آموزش اعضای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هیات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علمی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یا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یکی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از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رده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softHyphen/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های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فراگیران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علوم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پزشکی</w:t>
            </w:r>
            <w:r w:rsidRPr="00AD5D31">
              <w:rPr>
                <w:rFonts w:cs="B Lotus"/>
                <w:sz w:val="24"/>
                <w:szCs w:val="24"/>
                <w:vertAlign w:val="superscript"/>
                <w:rtl/>
                <w:lang w:bidi="fa-IR"/>
              </w:rPr>
              <w:footnoteReference w:id="1"/>
            </w:r>
          </w:p>
        </w:tc>
        <w:tc>
          <w:tcPr>
            <w:tcW w:w="1890" w:type="dxa"/>
          </w:tcPr>
          <w:p w:rsidR="00AD5D31" w:rsidRPr="00AD5D31" w:rsidRDefault="00AD5D31" w:rsidP="003642F9">
            <w:pPr>
              <w:bidi/>
              <w:spacing w:before="240"/>
              <w:contextualSpacing/>
              <w:jc w:val="center"/>
              <w:rPr>
                <w:rFonts w:eastAsia="MS Mincho" w:cs="B Lotus"/>
                <w:sz w:val="24"/>
                <w:szCs w:val="24"/>
                <w:rtl/>
                <w:lang w:bidi="fa-IR"/>
              </w:rPr>
            </w:pPr>
            <w:r w:rsidRPr="00AD5D31">
              <w:rPr>
                <w:rFonts w:eastAsia="MS Mincho" w:cs="Calibri"/>
                <w:sz w:val="24"/>
                <w:szCs w:val="24"/>
                <w:rtl/>
                <w:lang w:bidi="fa-IR"/>
              </w:rPr>
              <w:t>⃝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 xml:space="preserve"> بلی               </w:t>
            </w:r>
            <w:r w:rsidRPr="00AD5D31">
              <w:rPr>
                <w:rFonts w:eastAsia="MS Mincho" w:cs="Calibri"/>
                <w:sz w:val="24"/>
                <w:szCs w:val="24"/>
                <w:rtl/>
                <w:lang w:bidi="fa-IR"/>
              </w:rPr>
              <w:t>⃝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 xml:space="preserve"> خیر</w:t>
            </w:r>
          </w:p>
        </w:tc>
      </w:tr>
      <w:tr w:rsidR="00AD5D31" w:rsidRPr="009C510C" w:rsidTr="00C82637">
        <w:trPr>
          <w:trHeight w:val="416"/>
        </w:trPr>
        <w:tc>
          <w:tcPr>
            <w:tcW w:w="728" w:type="dxa"/>
          </w:tcPr>
          <w:p w:rsidR="00AD5D31" w:rsidRPr="009C510C" w:rsidRDefault="00AD5D31" w:rsidP="003642F9">
            <w:pPr>
              <w:bidi/>
              <w:spacing w:before="240"/>
              <w:contextualSpacing/>
              <w:jc w:val="center"/>
              <w:rPr>
                <w:rFonts w:eastAsia="MS Mincho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370" w:type="dxa"/>
            <w:gridSpan w:val="2"/>
          </w:tcPr>
          <w:p w:rsidR="00AD5D31" w:rsidRPr="00AD5D31" w:rsidRDefault="00AD5D31" w:rsidP="003642F9">
            <w:pPr>
              <w:bidi/>
              <w:spacing w:before="240"/>
              <w:contextualSpacing/>
              <w:rPr>
                <w:rFonts w:eastAsia="MS Mincho" w:cs="B Lotus"/>
                <w:sz w:val="24"/>
                <w:szCs w:val="24"/>
                <w:lang w:bidi="fa-IR"/>
              </w:rPr>
            </w:pP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فعالیت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softHyphen/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های مرتبط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با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آموزش سلامت عمومی</w:t>
            </w:r>
            <w:r w:rsidRPr="00AD5D31">
              <w:rPr>
                <w:rFonts w:cs="B Lotus"/>
                <w:sz w:val="24"/>
                <w:szCs w:val="24"/>
                <w:vertAlign w:val="superscript"/>
                <w:rtl/>
                <w:lang w:bidi="fa-IR"/>
              </w:rPr>
              <w:footnoteReference w:id="2"/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90" w:type="dxa"/>
          </w:tcPr>
          <w:p w:rsidR="00AD5D31" w:rsidRPr="00AD5D31" w:rsidRDefault="00AD5D31" w:rsidP="003642F9">
            <w:pPr>
              <w:bidi/>
              <w:spacing w:before="240"/>
              <w:contextualSpacing/>
              <w:jc w:val="center"/>
              <w:rPr>
                <w:rFonts w:eastAsia="MS Mincho" w:cs="B Lotus"/>
                <w:sz w:val="24"/>
                <w:szCs w:val="24"/>
                <w:rtl/>
                <w:lang w:bidi="fa-IR"/>
              </w:rPr>
            </w:pPr>
            <w:r w:rsidRPr="00AD5D31">
              <w:rPr>
                <w:rFonts w:eastAsia="MS Mincho" w:cs="Calibri"/>
                <w:sz w:val="24"/>
                <w:szCs w:val="24"/>
                <w:rtl/>
                <w:lang w:bidi="fa-IR"/>
              </w:rPr>
              <w:t>⃝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 xml:space="preserve"> بلی               </w:t>
            </w:r>
            <w:r w:rsidRPr="00AD5D31">
              <w:rPr>
                <w:rFonts w:eastAsia="MS Mincho" w:cs="Calibri"/>
                <w:sz w:val="24"/>
                <w:szCs w:val="24"/>
                <w:rtl/>
                <w:lang w:bidi="fa-IR"/>
              </w:rPr>
              <w:t>⃝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 xml:space="preserve"> خیر</w:t>
            </w:r>
          </w:p>
        </w:tc>
      </w:tr>
      <w:tr w:rsidR="00AD5D31" w:rsidRPr="009C510C" w:rsidTr="00C82637">
        <w:tc>
          <w:tcPr>
            <w:tcW w:w="728" w:type="dxa"/>
          </w:tcPr>
          <w:p w:rsidR="00AD5D31" w:rsidRPr="009C510C" w:rsidRDefault="00AD5D31" w:rsidP="003642F9">
            <w:pPr>
              <w:bidi/>
              <w:contextualSpacing/>
              <w:jc w:val="center"/>
              <w:rPr>
                <w:rFonts w:eastAsia="MS Mincho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370" w:type="dxa"/>
            <w:gridSpan w:val="2"/>
          </w:tcPr>
          <w:p w:rsidR="00AD5D31" w:rsidRPr="00AD5D31" w:rsidRDefault="00AD5D31" w:rsidP="003642F9">
            <w:pPr>
              <w:bidi/>
              <w:contextualSpacing/>
              <w:rPr>
                <w:rFonts w:eastAsia="MS Mincho" w:cs="B Lotus"/>
                <w:sz w:val="24"/>
                <w:szCs w:val="24"/>
                <w:lang w:bidi="fa-IR"/>
              </w:rPr>
            </w:pP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فرایندی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که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در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دوره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softHyphen/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های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گذشته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به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عنوان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فرایند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دانشگاهی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یا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کشوری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شناسایی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و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مورد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تقدیر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قرار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گرفته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softHyphen/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اند</w:t>
            </w:r>
          </w:p>
        </w:tc>
        <w:tc>
          <w:tcPr>
            <w:tcW w:w="1890" w:type="dxa"/>
          </w:tcPr>
          <w:p w:rsidR="00AD5D31" w:rsidRPr="00AD5D31" w:rsidRDefault="00AD5D31" w:rsidP="003642F9">
            <w:pPr>
              <w:bidi/>
              <w:spacing w:before="240"/>
              <w:contextualSpacing/>
              <w:jc w:val="center"/>
              <w:rPr>
                <w:rFonts w:eastAsia="MS Mincho" w:cs="B Lotus"/>
                <w:sz w:val="24"/>
                <w:szCs w:val="24"/>
                <w:rtl/>
                <w:lang w:bidi="fa-IR"/>
              </w:rPr>
            </w:pPr>
            <w:r w:rsidRPr="00AD5D31">
              <w:rPr>
                <w:rFonts w:eastAsia="MS Mincho" w:cs="Calibri"/>
                <w:sz w:val="24"/>
                <w:szCs w:val="24"/>
                <w:rtl/>
                <w:lang w:bidi="fa-IR"/>
              </w:rPr>
              <w:t>⃝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 xml:space="preserve"> بلی               </w:t>
            </w:r>
            <w:r w:rsidRPr="00AD5D31">
              <w:rPr>
                <w:rFonts w:eastAsia="MS Mincho" w:cs="Calibri"/>
                <w:sz w:val="24"/>
                <w:szCs w:val="24"/>
                <w:rtl/>
                <w:lang w:bidi="fa-IR"/>
              </w:rPr>
              <w:t>⃝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 xml:space="preserve"> خیر</w:t>
            </w:r>
          </w:p>
        </w:tc>
      </w:tr>
      <w:tr w:rsidR="00AD5D31" w:rsidRPr="009C510C" w:rsidTr="00C82637">
        <w:tc>
          <w:tcPr>
            <w:tcW w:w="728" w:type="dxa"/>
          </w:tcPr>
          <w:p w:rsidR="00AD5D31" w:rsidRPr="009C510C" w:rsidRDefault="00AD5D31" w:rsidP="003642F9">
            <w:pPr>
              <w:bidi/>
              <w:contextualSpacing/>
              <w:jc w:val="center"/>
              <w:rPr>
                <w:rFonts w:eastAsia="MS Mincho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370" w:type="dxa"/>
            <w:gridSpan w:val="2"/>
          </w:tcPr>
          <w:p w:rsidR="00AD5D31" w:rsidRPr="00AD5D31" w:rsidRDefault="00AD5D31" w:rsidP="003642F9">
            <w:pPr>
              <w:bidi/>
              <w:contextualSpacing/>
              <w:rPr>
                <w:rFonts w:eastAsia="MS Mincho" w:cs="B Lotus"/>
                <w:sz w:val="24"/>
                <w:szCs w:val="24"/>
                <w:rtl/>
                <w:lang w:bidi="fa-IR"/>
              </w:rPr>
            </w:pP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طرح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softHyphen/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هایی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که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صرفا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ماهیت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نظریه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پردازی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دارند</w:t>
            </w:r>
          </w:p>
        </w:tc>
        <w:tc>
          <w:tcPr>
            <w:tcW w:w="1890" w:type="dxa"/>
          </w:tcPr>
          <w:p w:rsidR="00AD5D31" w:rsidRPr="00AD5D31" w:rsidRDefault="00AD5D31" w:rsidP="003642F9">
            <w:pPr>
              <w:bidi/>
              <w:spacing w:before="240"/>
              <w:contextualSpacing/>
              <w:jc w:val="center"/>
              <w:rPr>
                <w:rFonts w:eastAsia="MS Mincho" w:cs="B Lotus"/>
                <w:sz w:val="24"/>
                <w:szCs w:val="24"/>
                <w:rtl/>
                <w:lang w:bidi="fa-IR"/>
              </w:rPr>
            </w:pPr>
            <w:r w:rsidRPr="00AD5D31">
              <w:rPr>
                <w:rFonts w:eastAsia="MS Mincho" w:cs="Calibri"/>
                <w:sz w:val="24"/>
                <w:szCs w:val="24"/>
                <w:rtl/>
                <w:lang w:bidi="fa-IR"/>
              </w:rPr>
              <w:t>⃝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 xml:space="preserve"> بلی               </w:t>
            </w:r>
            <w:r w:rsidRPr="00AD5D31">
              <w:rPr>
                <w:rFonts w:eastAsia="MS Mincho" w:cs="Calibri"/>
                <w:sz w:val="24"/>
                <w:szCs w:val="24"/>
                <w:rtl/>
                <w:lang w:bidi="fa-IR"/>
              </w:rPr>
              <w:t>⃝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 xml:space="preserve"> خیر</w:t>
            </w:r>
          </w:p>
        </w:tc>
      </w:tr>
      <w:tr w:rsidR="00AD5D31" w:rsidRPr="009C510C" w:rsidTr="00C82637">
        <w:tc>
          <w:tcPr>
            <w:tcW w:w="728" w:type="dxa"/>
          </w:tcPr>
          <w:p w:rsidR="00AD5D31" w:rsidRPr="009C510C" w:rsidRDefault="00AD5D31" w:rsidP="003642F9">
            <w:pPr>
              <w:bidi/>
              <w:contextualSpacing/>
              <w:jc w:val="center"/>
              <w:rPr>
                <w:rFonts w:eastAsia="MS Mincho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370" w:type="dxa"/>
            <w:gridSpan w:val="2"/>
          </w:tcPr>
          <w:p w:rsidR="00AD5D31" w:rsidRPr="00AD5D31" w:rsidRDefault="00AD5D31" w:rsidP="003642F9">
            <w:pPr>
              <w:bidi/>
              <w:contextualSpacing/>
              <w:rPr>
                <w:rFonts w:eastAsia="MS Mincho" w:cs="B Lotus"/>
                <w:sz w:val="24"/>
                <w:szCs w:val="24"/>
                <w:lang w:bidi="fa-IR"/>
              </w:rPr>
            </w:pP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پژوهش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softHyphen/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softHyphen/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1890" w:type="dxa"/>
          </w:tcPr>
          <w:p w:rsidR="00AD5D31" w:rsidRPr="00AD5D31" w:rsidRDefault="00AD5D31" w:rsidP="003642F9">
            <w:pPr>
              <w:bidi/>
              <w:spacing w:before="240"/>
              <w:contextualSpacing/>
              <w:jc w:val="center"/>
              <w:rPr>
                <w:rFonts w:eastAsia="MS Mincho" w:cs="B Lotus"/>
                <w:sz w:val="24"/>
                <w:szCs w:val="24"/>
                <w:rtl/>
                <w:lang w:bidi="fa-IR"/>
              </w:rPr>
            </w:pPr>
            <w:r w:rsidRPr="00AD5D31">
              <w:rPr>
                <w:rFonts w:eastAsia="MS Mincho" w:cs="Calibri"/>
                <w:sz w:val="24"/>
                <w:szCs w:val="24"/>
                <w:rtl/>
                <w:lang w:bidi="fa-IR"/>
              </w:rPr>
              <w:t>⃝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 xml:space="preserve"> بلی               </w:t>
            </w:r>
            <w:r w:rsidRPr="00AD5D31">
              <w:rPr>
                <w:rFonts w:eastAsia="MS Mincho" w:cs="Calibri"/>
                <w:sz w:val="24"/>
                <w:szCs w:val="24"/>
                <w:rtl/>
                <w:lang w:bidi="fa-IR"/>
              </w:rPr>
              <w:t>⃝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 xml:space="preserve"> خیر</w:t>
            </w:r>
          </w:p>
        </w:tc>
      </w:tr>
      <w:tr w:rsidR="00AD5D31" w:rsidRPr="009C510C" w:rsidTr="00C82637">
        <w:tc>
          <w:tcPr>
            <w:tcW w:w="728" w:type="dxa"/>
            <w:vMerge w:val="restart"/>
          </w:tcPr>
          <w:p w:rsidR="00AD5D31" w:rsidRPr="009C510C" w:rsidRDefault="00AD5D31" w:rsidP="003642F9">
            <w:pPr>
              <w:bidi/>
              <w:contextualSpacing/>
              <w:jc w:val="center"/>
              <w:rPr>
                <w:rFonts w:eastAsia="MS Mincho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260" w:type="dxa"/>
            <w:gridSpan w:val="3"/>
          </w:tcPr>
          <w:p w:rsidR="00AD5D31" w:rsidRPr="00AD5D31" w:rsidRDefault="00AD5D31" w:rsidP="003642F9">
            <w:pPr>
              <w:bidi/>
              <w:spacing w:before="240"/>
              <w:contextualSpacing/>
              <w:rPr>
                <w:rFonts w:eastAsia="MS Mincho" w:cs="B Lotus"/>
                <w:sz w:val="24"/>
                <w:szCs w:val="24"/>
                <w:rtl/>
                <w:lang w:bidi="fa-IR"/>
              </w:rPr>
            </w:pP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فرایندهایی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که از نظر تواتر و مدت اجرا</w:t>
            </w:r>
            <w:r w:rsidRPr="00AD5D31">
              <w:rPr>
                <w:rFonts w:eastAsia="MS Mincho" w:cs="B Lotus"/>
                <w:sz w:val="24"/>
                <w:szCs w:val="24"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یکی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از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شرایط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زیر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را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دارند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AD5D31" w:rsidRPr="009C510C" w:rsidTr="00C82637">
        <w:tc>
          <w:tcPr>
            <w:tcW w:w="728" w:type="dxa"/>
            <w:vMerge/>
          </w:tcPr>
          <w:p w:rsidR="00AD5D31" w:rsidRPr="009C510C" w:rsidRDefault="00AD5D31" w:rsidP="003642F9">
            <w:pPr>
              <w:bidi/>
              <w:contextualSpacing/>
              <w:jc w:val="center"/>
              <w:rPr>
                <w:rFonts w:eastAsia="MS Mincho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4" w:type="dxa"/>
          </w:tcPr>
          <w:p w:rsidR="00AD5D31" w:rsidRPr="00AD5D31" w:rsidRDefault="00AD5D31" w:rsidP="003642F9">
            <w:pPr>
              <w:bidi/>
              <w:contextualSpacing/>
              <w:jc w:val="center"/>
              <w:rPr>
                <w:rFonts w:eastAsia="MS Mincho" w:cs="B Lotus"/>
                <w:sz w:val="24"/>
                <w:szCs w:val="24"/>
                <w:rtl/>
                <w:lang w:bidi="fa-IR"/>
              </w:rPr>
            </w:pP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6-1</w:t>
            </w:r>
          </w:p>
        </w:tc>
        <w:tc>
          <w:tcPr>
            <w:tcW w:w="6866" w:type="dxa"/>
          </w:tcPr>
          <w:p w:rsidR="00AD5D31" w:rsidRPr="00AD5D31" w:rsidRDefault="00AD5D31" w:rsidP="003642F9">
            <w:pPr>
              <w:bidi/>
              <w:contextualSpacing/>
              <w:rPr>
                <w:rFonts w:eastAsia="MS Mincho" w:cs="B Lotus"/>
                <w:sz w:val="24"/>
                <w:szCs w:val="24"/>
                <w:lang w:bidi="fa-IR"/>
              </w:rPr>
            </w:pP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در مورد فرایندهایی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که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اجرای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مستمر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دارند،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مدت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اجرای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کمتر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از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شش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ماه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داشته باشند.</w:t>
            </w:r>
          </w:p>
        </w:tc>
        <w:tc>
          <w:tcPr>
            <w:tcW w:w="1890" w:type="dxa"/>
          </w:tcPr>
          <w:p w:rsidR="00AD5D31" w:rsidRPr="00AD5D31" w:rsidRDefault="00AD5D31" w:rsidP="003642F9">
            <w:pPr>
              <w:bidi/>
              <w:spacing w:before="240"/>
              <w:contextualSpacing/>
              <w:jc w:val="center"/>
              <w:rPr>
                <w:rFonts w:eastAsia="MS Mincho" w:cs="B Lotus"/>
                <w:sz w:val="24"/>
                <w:szCs w:val="24"/>
                <w:rtl/>
                <w:lang w:bidi="fa-IR"/>
              </w:rPr>
            </w:pPr>
            <w:r w:rsidRPr="00AD5D31">
              <w:rPr>
                <w:rFonts w:eastAsia="MS Mincho" w:cs="Calibri"/>
                <w:sz w:val="24"/>
                <w:szCs w:val="24"/>
                <w:rtl/>
                <w:lang w:bidi="fa-IR"/>
              </w:rPr>
              <w:t>⃝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 xml:space="preserve"> بلی               </w:t>
            </w:r>
            <w:r w:rsidRPr="00AD5D31">
              <w:rPr>
                <w:rFonts w:eastAsia="MS Mincho" w:cs="Calibri"/>
                <w:sz w:val="24"/>
                <w:szCs w:val="24"/>
                <w:rtl/>
                <w:lang w:bidi="fa-IR"/>
              </w:rPr>
              <w:t>⃝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 xml:space="preserve"> خیر</w:t>
            </w:r>
          </w:p>
        </w:tc>
      </w:tr>
      <w:tr w:rsidR="00AD5D31" w:rsidRPr="009C510C" w:rsidTr="00C82637">
        <w:tc>
          <w:tcPr>
            <w:tcW w:w="728" w:type="dxa"/>
            <w:vMerge/>
          </w:tcPr>
          <w:p w:rsidR="00AD5D31" w:rsidRPr="009C510C" w:rsidRDefault="00AD5D31" w:rsidP="003642F9">
            <w:pPr>
              <w:bidi/>
              <w:contextualSpacing/>
              <w:jc w:val="center"/>
              <w:rPr>
                <w:rFonts w:eastAsia="MS Mincho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4" w:type="dxa"/>
          </w:tcPr>
          <w:p w:rsidR="00AD5D31" w:rsidRPr="00AD5D31" w:rsidRDefault="00AD5D31" w:rsidP="003642F9">
            <w:pPr>
              <w:bidi/>
              <w:contextualSpacing/>
              <w:jc w:val="center"/>
              <w:rPr>
                <w:rFonts w:eastAsia="MS Mincho" w:cs="B Lotus"/>
                <w:sz w:val="24"/>
                <w:szCs w:val="24"/>
                <w:rtl/>
                <w:lang w:bidi="fa-IR"/>
              </w:rPr>
            </w:pP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6-2</w:t>
            </w:r>
          </w:p>
        </w:tc>
        <w:tc>
          <w:tcPr>
            <w:tcW w:w="6866" w:type="dxa"/>
          </w:tcPr>
          <w:p w:rsidR="00AD5D31" w:rsidRPr="00AD5D31" w:rsidRDefault="00AD5D31" w:rsidP="003642F9">
            <w:pPr>
              <w:bidi/>
              <w:contextualSpacing/>
              <w:rPr>
                <w:rFonts w:eastAsia="MS Mincho" w:cs="B Lotus"/>
                <w:sz w:val="24"/>
                <w:szCs w:val="24"/>
                <w:lang w:bidi="fa-IR"/>
              </w:rPr>
            </w:pP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در مورد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فرایندهایی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که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اجرای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مکرر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دارند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حداقل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دو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بار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انجام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نشده باشند.</w:t>
            </w:r>
          </w:p>
        </w:tc>
        <w:tc>
          <w:tcPr>
            <w:tcW w:w="1890" w:type="dxa"/>
          </w:tcPr>
          <w:p w:rsidR="00AD5D31" w:rsidRPr="00AD5D31" w:rsidRDefault="00AD5D31" w:rsidP="003642F9">
            <w:pPr>
              <w:bidi/>
              <w:spacing w:before="240"/>
              <w:contextualSpacing/>
              <w:jc w:val="center"/>
              <w:rPr>
                <w:rFonts w:eastAsia="MS Mincho" w:cs="B Lotus"/>
                <w:sz w:val="24"/>
                <w:szCs w:val="24"/>
                <w:rtl/>
                <w:lang w:bidi="fa-IR"/>
              </w:rPr>
            </w:pPr>
            <w:r w:rsidRPr="00AD5D31">
              <w:rPr>
                <w:rFonts w:eastAsia="MS Mincho" w:cs="Calibri"/>
                <w:sz w:val="24"/>
                <w:szCs w:val="24"/>
                <w:rtl/>
                <w:lang w:bidi="fa-IR"/>
              </w:rPr>
              <w:t>⃝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 xml:space="preserve"> بلی               </w:t>
            </w:r>
            <w:r w:rsidRPr="00AD5D31">
              <w:rPr>
                <w:rFonts w:eastAsia="MS Mincho" w:cs="Calibri"/>
                <w:sz w:val="24"/>
                <w:szCs w:val="24"/>
                <w:rtl/>
                <w:lang w:bidi="fa-IR"/>
              </w:rPr>
              <w:t>⃝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 xml:space="preserve"> خیر</w:t>
            </w:r>
          </w:p>
        </w:tc>
      </w:tr>
      <w:tr w:rsidR="00AD5D31" w:rsidRPr="009C510C" w:rsidTr="00C82637">
        <w:tc>
          <w:tcPr>
            <w:tcW w:w="728" w:type="dxa"/>
            <w:vMerge/>
          </w:tcPr>
          <w:p w:rsidR="00AD5D31" w:rsidRPr="009C510C" w:rsidRDefault="00AD5D31" w:rsidP="003642F9">
            <w:pPr>
              <w:bidi/>
              <w:contextualSpacing/>
              <w:jc w:val="center"/>
              <w:rPr>
                <w:rFonts w:eastAsia="MS Mincho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4" w:type="dxa"/>
          </w:tcPr>
          <w:p w:rsidR="00AD5D31" w:rsidRPr="00AD5D31" w:rsidRDefault="00AD5D31" w:rsidP="003642F9">
            <w:pPr>
              <w:bidi/>
              <w:contextualSpacing/>
              <w:jc w:val="center"/>
              <w:rPr>
                <w:rFonts w:eastAsia="MS Mincho" w:cs="B Lotus"/>
                <w:sz w:val="24"/>
                <w:szCs w:val="24"/>
                <w:rtl/>
                <w:lang w:bidi="fa-IR"/>
              </w:rPr>
            </w:pP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6-3</w:t>
            </w:r>
          </w:p>
        </w:tc>
        <w:tc>
          <w:tcPr>
            <w:tcW w:w="6866" w:type="dxa"/>
          </w:tcPr>
          <w:p w:rsidR="00AD5D31" w:rsidRPr="00AD5D31" w:rsidRDefault="00AD5D31" w:rsidP="003642F9">
            <w:pPr>
              <w:bidi/>
              <w:contextualSpacing/>
              <w:rPr>
                <w:rFonts w:eastAsia="MS Mincho" w:cs="B Lotus"/>
                <w:sz w:val="24"/>
                <w:szCs w:val="24"/>
                <w:lang w:bidi="fa-IR"/>
              </w:rPr>
            </w:pP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در مورد فرایندهایی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که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ماهیتا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اجرای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یک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باره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دارند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ولی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تأثیر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مستمر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دارند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مانند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برنامه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softHyphen/>
              <w:t>های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آموزشی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یا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سندهای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سیاست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گذاری،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مصوب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مرجع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ذی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صلاح</w:t>
            </w:r>
            <w:r w:rsidRPr="00AD5D31">
              <w:rPr>
                <w:rFonts w:eastAsia="MS Mincho" w:cs="B Lotus"/>
                <w:sz w:val="24"/>
                <w:szCs w:val="24"/>
                <w:rtl/>
                <w:lang w:bidi="fa-IR"/>
              </w:rPr>
              <w:t xml:space="preserve"> 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>نشده باشند.</w:t>
            </w:r>
          </w:p>
        </w:tc>
        <w:tc>
          <w:tcPr>
            <w:tcW w:w="1890" w:type="dxa"/>
          </w:tcPr>
          <w:p w:rsidR="00AD5D31" w:rsidRPr="00AD5D31" w:rsidRDefault="00AD5D31" w:rsidP="003642F9">
            <w:pPr>
              <w:bidi/>
              <w:spacing w:before="240"/>
              <w:contextualSpacing/>
              <w:jc w:val="center"/>
              <w:rPr>
                <w:rFonts w:eastAsia="MS Mincho" w:cs="B Lotus"/>
                <w:sz w:val="24"/>
                <w:szCs w:val="24"/>
                <w:rtl/>
                <w:lang w:bidi="fa-IR"/>
              </w:rPr>
            </w:pPr>
            <w:r w:rsidRPr="00AD5D31">
              <w:rPr>
                <w:rFonts w:eastAsia="MS Mincho" w:cs="Calibri"/>
                <w:sz w:val="24"/>
                <w:szCs w:val="24"/>
                <w:rtl/>
                <w:lang w:bidi="fa-IR"/>
              </w:rPr>
              <w:t>⃝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 xml:space="preserve"> بلی               </w:t>
            </w:r>
            <w:r w:rsidRPr="00AD5D31">
              <w:rPr>
                <w:rFonts w:eastAsia="MS Mincho" w:cs="Calibri"/>
                <w:sz w:val="24"/>
                <w:szCs w:val="24"/>
                <w:rtl/>
                <w:lang w:bidi="fa-IR"/>
              </w:rPr>
              <w:t>⃝</w:t>
            </w:r>
            <w:r w:rsidRPr="00AD5D31">
              <w:rPr>
                <w:rFonts w:eastAsia="MS Mincho" w:cs="B Lotus" w:hint="cs"/>
                <w:sz w:val="24"/>
                <w:szCs w:val="24"/>
                <w:rtl/>
                <w:lang w:bidi="fa-IR"/>
              </w:rPr>
              <w:t xml:space="preserve"> خیر</w:t>
            </w:r>
          </w:p>
        </w:tc>
      </w:tr>
    </w:tbl>
    <w:p w:rsidR="00EC2346" w:rsidRDefault="00E758A3" w:rsidP="00EC2346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  <w:r>
        <w:rPr>
          <w:rFonts w:ascii="TimesNewRoman,Italic" w:hAnsi="TimesNewRoman,Italic"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139065</wp:posOffset>
                </wp:positionV>
                <wp:extent cx="220345" cy="105410"/>
                <wp:effectExtent l="10795" t="8255" r="6985" b="10160"/>
                <wp:wrapNone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1054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C7A001" id="Oval 7" o:spid="_x0000_s1026" style="position:absolute;margin-left:148.6pt;margin-top:10.95pt;width:17.35pt;height: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"/>
            </w:pict>
          </mc:Fallback>
        </mc:AlternateContent>
      </w:r>
      <w:r>
        <w:rPr>
          <w:rFonts w:ascii="TimesNewRoman,Italic" w:hAnsi="TimesNewRoman,Italic"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139065</wp:posOffset>
                </wp:positionV>
                <wp:extent cx="220345" cy="105410"/>
                <wp:effectExtent l="12065" t="8255" r="5715" b="10160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1054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86291C" id="Oval 6" o:spid="_x0000_s1026" style="position:absolute;margin-left:345.95pt;margin-top:10.95pt;width:17.35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"/>
            </w:pict>
          </mc:Fallback>
        </mc:AlternateContent>
      </w:r>
      <w:r>
        <w:rPr>
          <w:rFonts w:ascii="TimesNewRoman,Italic" w:hAnsi="TimesNewRoman,Italic"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139065</wp:posOffset>
                </wp:positionV>
                <wp:extent cx="220345" cy="105410"/>
                <wp:effectExtent l="6350" t="8255" r="11430" b="1016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1054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F33651" id="Oval 5" o:spid="_x0000_s1026" style="position:absolute;margin-left:229.25pt;margin-top:10.95pt;width:17.35pt;height: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"/>
            </w:pict>
          </mc:Fallback>
        </mc:AlternateContent>
      </w:r>
      <w:r w:rsidR="00EC2346">
        <w:rPr>
          <w:rFonts w:ascii="TimesNewRoman,Italic" w:hAnsi="TimesNewRoman,Italic" w:cs="B Lotus" w:hint="cs"/>
          <w:sz w:val="28"/>
          <w:szCs w:val="28"/>
          <w:rtl/>
          <w:lang w:bidi="fa-IR"/>
        </w:rPr>
        <w:t xml:space="preserve">نتیجه داوری:  رد  سریع          تایید بعد از اصلاح                  تایید </w:t>
      </w:r>
    </w:p>
    <w:p w:rsidR="00EC2346" w:rsidRDefault="00EC2346" w:rsidP="00EC2346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  <w:rtl/>
        </w:rPr>
      </w:pPr>
      <w:r>
        <w:rPr>
          <w:rFonts w:ascii="TimesNewRoman,Italic" w:hAnsi="TimesNewRoman,Italic" w:cs="B Lotus" w:hint="cs"/>
          <w:sz w:val="28"/>
          <w:szCs w:val="28"/>
          <w:rtl/>
          <w:lang w:bidi="fa-IR"/>
        </w:rPr>
        <w:t xml:space="preserve"> دلیل رد سریع:</w:t>
      </w:r>
      <w:r w:rsidR="00B317DB">
        <w:rPr>
          <w:rFonts w:ascii="TimesNewRoman,Italic" w:hAnsi="TimesNewRoman,Italic" w:cs="B Lotus" w:hint="cs"/>
          <w:sz w:val="28"/>
          <w:szCs w:val="28"/>
          <w:rtl/>
          <w:lang w:bidi="fa-IR"/>
        </w:rPr>
        <w:t xml:space="preserve">                                                                       تاریخ:                نام داور:</w:t>
      </w:r>
    </w:p>
    <w:p w:rsidR="00725B56" w:rsidRPr="00725B56" w:rsidRDefault="00725B56" w:rsidP="00EC2346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b/>
          <w:bCs/>
          <w:sz w:val="28"/>
          <w:szCs w:val="28"/>
          <w:rtl/>
        </w:rPr>
      </w:pPr>
      <w:r w:rsidRPr="00725B56">
        <w:rPr>
          <w:rFonts w:ascii="TimesNewRoman,Italic" w:hAnsi="TimesNewRoman,Italic" w:cs="B Lotus" w:hint="cs"/>
          <w:sz w:val="28"/>
          <w:szCs w:val="28"/>
          <w:rtl/>
        </w:rPr>
        <w:lastRenderedPageBreak/>
        <w:t xml:space="preserve">چک لیست ارزیابی فرایندهای جشنواره شهید مطهری </w:t>
      </w:r>
      <w:r>
        <w:rPr>
          <w:rFonts w:ascii="TimesNewRoman,Italic" w:hAnsi="TimesNewRoman,Italic" w:cs="B Lotus" w:hint="cs"/>
          <w:sz w:val="28"/>
          <w:szCs w:val="28"/>
          <w:rtl/>
        </w:rPr>
        <w:t>درون دانشگاهی  دانشگاه علوم پزشکی زاهدان</w:t>
      </w:r>
      <w:r w:rsidRPr="00725B56">
        <w:rPr>
          <w:rFonts w:ascii="TimesNewRoman,Italic" w:hAnsi="TimesNewRoman,Italic" w:cs="B Lotus" w:hint="cs"/>
          <w:sz w:val="28"/>
          <w:szCs w:val="28"/>
          <w:rtl/>
        </w:rPr>
        <w:t xml:space="preserve"> برای بررسی </w:t>
      </w:r>
      <w:r w:rsidRPr="00725B56">
        <w:rPr>
          <w:rFonts w:ascii="TimesNewRoman,Italic" w:hAnsi="TimesNewRoman,Italic" w:cs="B Lotus" w:hint="cs"/>
          <w:b/>
          <w:bCs/>
          <w:sz w:val="28"/>
          <w:szCs w:val="28"/>
          <w:rtl/>
        </w:rPr>
        <w:t>معيارهاي ارزيابي معیارهای دانش پژوهي</w:t>
      </w:r>
    </w:p>
    <w:p w:rsidR="00AD5D31" w:rsidRDefault="00725B56" w:rsidP="00725B56">
      <w:pPr>
        <w:bidi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فرایند</w:t>
      </w:r>
      <w:r>
        <w:rPr>
          <w:rFonts w:ascii="TimesNewRoman,Italic" w:hAnsi="TimesNewRoman,Italic" w:cs="B Lotus" w:hint="cs"/>
          <w:sz w:val="28"/>
          <w:szCs w:val="28"/>
          <w:rtl/>
        </w:rPr>
        <w:t xml:space="preserve">می تواند 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>برای بررسی در جشنواره شهید مطهری</w:t>
      </w:r>
      <w:r>
        <w:rPr>
          <w:rFonts w:ascii="TimesNewRoman,Italic" w:hAnsi="TimesNewRoman,Italic" w:cs="B Lotus" w:hint="cs"/>
          <w:sz w:val="28"/>
          <w:szCs w:val="28"/>
          <w:rtl/>
        </w:rPr>
        <w:t xml:space="preserve"> وارد داوری شود.</w:t>
      </w:r>
    </w:p>
    <w:p w:rsidR="00725B56" w:rsidRDefault="00725B56" w:rsidP="00725B56">
      <w:pPr>
        <w:bidi/>
        <w:rPr>
          <w:rFonts w:ascii="TimesNewRoman,Italic" w:hAnsi="TimesNewRoman,Italic" w:cs="B Lotus"/>
          <w:sz w:val="28"/>
          <w:szCs w:val="28"/>
          <w:rtl/>
        </w:rPr>
      </w:pPr>
    </w:p>
    <w:tbl>
      <w:tblPr>
        <w:tblStyle w:val="TableGrid"/>
        <w:bidiVisual/>
        <w:tblW w:w="10115" w:type="dxa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725B56" w:rsidRPr="009C510C" w:rsidTr="00C82637">
        <w:trPr>
          <w:trHeight w:val="587"/>
        </w:trPr>
        <w:tc>
          <w:tcPr>
            <w:tcW w:w="876" w:type="dxa"/>
          </w:tcPr>
          <w:p w:rsidR="00725B56" w:rsidRPr="009C510C" w:rsidRDefault="00725B56" w:rsidP="003642F9">
            <w:pPr>
              <w:bidi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</w:tcPr>
          <w:p w:rsidR="00725B56" w:rsidRPr="009C510C" w:rsidRDefault="00725B56" w:rsidP="003642F9">
            <w:pPr>
              <w:bidi/>
              <w:ind w:left="15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</w:tcPr>
          <w:p w:rsidR="00725B56" w:rsidRPr="009C510C" w:rsidRDefault="00725B56" w:rsidP="003642F9">
            <w:pPr>
              <w:bidi/>
              <w:ind w:left="360"/>
              <w:contextualSpacing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725B56" w:rsidRPr="009C510C" w:rsidTr="00C82637">
        <w:trPr>
          <w:trHeight w:hRule="exact" w:val="510"/>
        </w:trPr>
        <w:tc>
          <w:tcPr>
            <w:tcW w:w="876" w:type="dxa"/>
          </w:tcPr>
          <w:p w:rsidR="00725B56" w:rsidRPr="009C510C" w:rsidRDefault="00725B56" w:rsidP="003642F9">
            <w:pPr>
              <w:bidi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725B56" w:rsidRPr="009C510C" w:rsidRDefault="00725B56" w:rsidP="003642F9">
            <w:pPr>
              <w:bidi/>
              <w:ind w:left="15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725B56" w:rsidRPr="009C510C" w:rsidRDefault="00725B56" w:rsidP="003642F9">
            <w:pPr>
              <w:bidi/>
              <w:ind w:left="153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725B56" w:rsidRPr="009C510C" w:rsidTr="00C82637">
        <w:trPr>
          <w:trHeight w:hRule="exact" w:val="510"/>
        </w:trPr>
        <w:tc>
          <w:tcPr>
            <w:tcW w:w="876" w:type="dxa"/>
          </w:tcPr>
          <w:p w:rsidR="00725B56" w:rsidRPr="009C510C" w:rsidRDefault="00725B56" w:rsidP="003642F9">
            <w:pPr>
              <w:bidi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725B56" w:rsidRPr="009C510C" w:rsidRDefault="00725B56" w:rsidP="003642F9">
            <w:pPr>
              <w:bidi/>
              <w:ind w:left="15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725B56" w:rsidRPr="009C510C" w:rsidRDefault="00725B56" w:rsidP="003642F9">
            <w:pPr>
              <w:bidi/>
              <w:ind w:left="153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725B56" w:rsidRPr="009C510C" w:rsidTr="00C82637">
        <w:trPr>
          <w:trHeight w:hRule="exact" w:val="510"/>
        </w:trPr>
        <w:tc>
          <w:tcPr>
            <w:tcW w:w="876" w:type="dxa"/>
          </w:tcPr>
          <w:p w:rsidR="00725B56" w:rsidRPr="009C510C" w:rsidRDefault="00725B56" w:rsidP="003642F9">
            <w:pPr>
              <w:bidi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725B56" w:rsidRPr="009C510C" w:rsidRDefault="00725B56" w:rsidP="003642F9">
            <w:pPr>
              <w:bidi/>
              <w:ind w:left="15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725B56" w:rsidRPr="009C510C" w:rsidRDefault="00725B56" w:rsidP="003642F9">
            <w:pPr>
              <w:bidi/>
              <w:ind w:left="153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725B56" w:rsidRPr="009C510C" w:rsidTr="00C82637">
        <w:trPr>
          <w:trHeight w:hRule="exact" w:val="510"/>
        </w:trPr>
        <w:tc>
          <w:tcPr>
            <w:tcW w:w="876" w:type="dxa"/>
          </w:tcPr>
          <w:p w:rsidR="00725B56" w:rsidRPr="009C510C" w:rsidRDefault="00725B56" w:rsidP="003642F9">
            <w:pPr>
              <w:bidi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725B56" w:rsidRPr="009C510C" w:rsidRDefault="00725B56" w:rsidP="003642F9">
            <w:pPr>
              <w:bidi/>
              <w:ind w:left="15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725B56" w:rsidRPr="009C510C" w:rsidRDefault="00725B56" w:rsidP="003642F9">
            <w:pPr>
              <w:bidi/>
              <w:ind w:left="153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725B56" w:rsidRPr="009C510C" w:rsidTr="00C82637">
        <w:trPr>
          <w:trHeight w:hRule="exact" w:val="510"/>
        </w:trPr>
        <w:tc>
          <w:tcPr>
            <w:tcW w:w="876" w:type="dxa"/>
          </w:tcPr>
          <w:p w:rsidR="00725B56" w:rsidRPr="009C510C" w:rsidRDefault="00725B56" w:rsidP="003642F9">
            <w:pPr>
              <w:bidi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725B56" w:rsidRPr="009C510C" w:rsidRDefault="00725B56" w:rsidP="003642F9">
            <w:pPr>
              <w:bidi/>
              <w:ind w:left="15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725B56" w:rsidRPr="009C510C" w:rsidRDefault="00725B56" w:rsidP="003642F9">
            <w:pPr>
              <w:bidi/>
              <w:ind w:left="153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725B56" w:rsidRPr="009C510C" w:rsidTr="00C82637">
        <w:trPr>
          <w:trHeight w:hRule="exact" w:val="510"/>
        </w:trPr>
        <w:tc>
          <w:tcPr>
            <w:tcW w:w="876" w:type="dxa"/>
          </w:tcPr>
          <w:p w:rsidR="00725B56" w:rsidRPr="009C510C" w:rsidRDefault="00725B56" w:rsidP="003642F9">
            <w:pPr>
              <w:bidi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725B56" w:rsidRPr="009C510C" w:rsidRDefault="00725B56" w:rsidP="003642F9">
            <w:pPr>
              <w:bidi/>
              <w:ind w:left="15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725B56" w:rsidRPr="009C510C" w:rsidRDefault="00725B56" w:rsidP="003642F9">
            <w:pPr>
              <w:bidi/>
              <w:ind w:left="153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:rsidR="00725B56" w:rsidRDefault="00725B56" w:rsidP="00725B56">
      <w:pPr>
        <w:bidi/>
        <w:rPr>
          <w:rtl/>
          <w:lang w:bidi="fa-IR"/>
        </w:rPr>
      </w:pPr>
    </w:p>
    <w:p w:rsidR="00725B56" w:rsidRDefault="00725B56" w:rsidP="00725B56">
      <w:pPr>
        <w:bidi/>
        <w:rPr>
          <w:rtl/>
          <w:lang w:bidi="fa-IR"/>
        </w:rPr>
      </w:pPr>
    </w:p>
    <w:p w:rsidR="00725B56" w:rsidRPr="00725B56" w:rsidRDefault="00725B56" w:rsidP="00725B56">
      <w:pPr>
        <w:bidi/>
        <w:rPr>
          <w:rFonts w:cs="B Zar"/>
          <w:sz w:val="28"/>
          <w:szCs w:val="28"/>
          <w:rtl/>
          <w:lang w:bidi="fa-IR"/>
        </w:rPr>
      </w:pPr>
    </w:p>
    <w:p w:rsidR="00725B56" w:rsidRPr="00EC2346" w:rsidRDefault="00725B56" w:rsidP="00725B56">
      <w:pPr>
        <w:bidi/>
        <w:rPr>
          <w:rFonts w:cs="B Zar"/>
          <w:sz w:val="28"/>
          <w:szCs w:val="28"/>
          <w:rtl/>
          <w:lang w:bidi="fa-IR"/>
        </w:rPr>
      </w:pPr>
      <w:r w:rsidRPr="00EC2346">
        <w:rPr>
          <w:rFonts w:cs="B Zar" w:hint="cs"/>
          <w:sz w:val="28"/>
          <w:szCs w:val="28"/>
          <w:rtl/>
          <w:lang w:bidi="fa-IR"/>
        </w:rPr>
        <w:t xml:space="preserve">تایید طرح برای داوری :   </w:t>
      </w:r>
    </w:p>
    <w:p w:rsidR="00725B56" w:rsidRPr="00EC2346" w:rsidRDefault="00725B56" w:rsidP="00725B56">
      <w:pPr>
        <w:bidi/>
        <w:rPr>
          <w:rFonts w:cs="B Zar"/>
          <w:sz w:val="28"/>
          <w:szCs w:val="28"/>
          <w:rtl/>
          <w:lang w:bidi="fa-IR"/>
        </w:rPr>
      </w:pPr>
      <w:r w:rsidRPr="00EC2346">
        <w:rPr>
          <w:rFonts w:cs="B Zar" w:hint="cs"/>
          <w:sz w:val="28"/>
          <w:szCs w:val="28"/>
          <w:rtl/>
          <w:lang w:bidi="fa-IR"/>
        </w:rPr>
        <w:t xml:space="preserve"> رد طرح برای داوری: </w:t>
      </w:r>
    </w:p>
    <w:p w:rsidR="00725B56" w:rsidRPr="00EC2346" w:rsidRDefault="00F517ED" w:rsidP="00725B56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</w:t>
      </w:r>
      <w:r w:rsidR="00725B56" w:rsidRPr="00EC2346">
        <w:rPr>
          <w:rFonts w:cs="B Zar" w:hint="cs"/>
          <w:sz w:val="28"/>
          <w:szCs w:val="28"/>
          <w:rtl/>
          <w:lang w:bidi="fa-IR"/>
        </w:rPr>
        <w:t xml:space="preserve"> امضاء داور:</w:t>
      </w:r>
    </w:p>
    <w:sectPr w:rsidR="00725B56" w:rsidRPr="00EC23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7EF" w:rsidRDefault="00EE17EF" w:rsidP="00AD5D31">
      <w:pPr>
        <w:spacing w:after="0" w:line="240" w:lineRule="auto"/>
      </w:pPr>
      <w:r>
        <w:separator/>
      </w:r>
    </w:p>
  </w:endnote>
  <w:endnote w:type="continuationSeparator" w:id="0">
    <w:p w:rsidR="00EE17EF" w:rsidRDefault="00EE17EF" w:rsidP="00AD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7EF" w:rsidRDefault="00EE17EF" w:rsidP="00AD5D31">
      <w:pPr>
        <w:spacing w:after="0" w:line="240" w:lineRule="auto"/>
      </w:pPr>
      <w:r>
        <w:separator/>
      </w:r>
    </w:p>
  </w:footnote>
  <w:footnote w:type="continuationSeparator" w:id="0">
    <w:p w:rsidR="00EE17EF" w:rsidRDefault="00EE17EF" w:rsidP="00AD5D31">
      <w:pPr>
        <w:spacing w:after="0" w:line="240" w:lineRule="auto"/>
      </w:pPr>
      <w:r>
        <w:continuationSeparator/>
      </w:r>
    </w:p>
  </w:footnote>
  <w:footnote w:id="1">
    <w:p w:rsidR="00AD5D31" w:rsidRDefault="00AD5D31" w:rsidP="00AD5D31">
      <w:pPr>
        <w:pStyle w:val="FootnoteText"/>
        <w:bidi w:val="0"/>
        <w:rPr>
          <w:rtl/>
          <w:lang w:bidi="fa-IR"/>
        </w:rPr>
      </w:pPr>
    </w:p>
  </w:footnote>
  <w:footnote w:id="2">
    <w:p w:rsidR="00AD5D31" w:rsidRDefault="00AD5D31" w:rsidP="00AD5D31">
      <w:pPr>
        <w:pStyle w:val="FootnoteText"/>
        <w:bidi w:val="0"/>
        <w:rPr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31"/>
    <w:rsid w:val="000A4D8C"/>
    <w:rsid w:val="00725B56"/>
    <w:rsid w:val="00A2278A"/>
    <w:rsid w:val="00AD5D31"/>
    <w:rsid w:val="00B317DB"/>
    <w:rsid w:val="00C82637"/>
    <w:rsid w:val="00E438CF"/>
    <w:rsid w:val="00E758A3"/>
    <w:rsid w:val="00EC2346"/>
    <w:rsid w:val="00EE17EF"/>
    <w:rsid w:val="00F5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F0C69E-8251-499F-92EB-99EFBA97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D5D3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D3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D5D31"/>
    <w:rPr>
      <w:vertAlign w:val="superscript"/>
    </w:rPr>
  </w:style>
  <w:style w:type="table" w:customStyle="1" w:styleId="GridTable4-Accent11">
    <w:name w:val="Grid Table 4 - Accent 11"/>
    <w:basedOn w:val="TableNormal"/>
    <w:uiPriority w:val="49"/>
    <w:rsid w:val="00AD5D3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725B56"/>
    <w:pPr>
      <w:ind w:left="720"/>
      <w:contextualSpacing/>
    </w:pPr>
    <w:rPr>
      <w:rFonts w:ascii="Calibri" w:eastAsia="Calibri" w:hAnsi="Calibri" w:cs="Arial"/>
    </w:rPr>
  </w:style>
  <w:style w:type="table" w:customStyle="1" w:styleId="GridTable4-Accent21">
    <w:name w:val="Grid Table 4 - Accent 21"/>
    <w:basedOn w:val="TableNormal"/>
    <w:uiPriority w:val="49"/>
    <w:rsid w:val="00725B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2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k.shahraki</dc:creator>
  <cp:keywords/>
  <dc:description/>
  <cp:lastModifiedBy>pishro</cp:lastModifiedBy>
  <cp:revision>2</cp:revision>
  <cp:lastPrinted>2021-12-25T07:03:00Z</cp:lastPrinted>
  <dcterms:created xsi:type="dcterms:W3CDTF">2024-12-17T07:03:00Z</dcterms:created>
  <dcterms:modified xsi:type="dcterms:W3CDTF">2024-12-17T07:03:00Z</dcterms:modified>
</cp:coreProperties>
</file>